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6F" w:rsidRDefault="00617383" w:rsidP="00D1776F">
      <w:pPr>
        <w:spacing w:before="100" w:beforeAutospacing="1" w:after="100" w:afterAutospacing="1"/>
        <w:rPr>
          <w:rFonts w:ascii="Euphemia" w:hAnsi="Euphemia"/>
          <w:b/>
          <w:smallCaps/>
          <w:sz w:val="28"/>
          <w:szCs w:val="28"/>
        </w:rPr>
      </w:pPr>
      <w:r w:rsidRPr="00B90A21">
        <w:rPr>
          <w:rFonts w:ascii="Euphemia" w:hAnsi="Euphemia"/>
          <w:b/>
          <w:smallCaps/>
          <w:sz w:val="28"/>
          <w:szCs w:val="28"/>
        </w:rPr>
        <w:t>Why</w:t>
      </w:r>
      <w:r w:rsidR="00D1776F" w:rsidRPr="00D1776F">
        <w:rPr>
          <w:rFonts w:ascii="Euphemia" w:hAnsi="Euphemia"/>
          <w:b/>
          <w:smallCaps/>
          <w:sz w:val="28"/>
          <w:szCs w:val="28"/>
        </w:rPr>
        <w:t xml:space="preserve"> Cli</w:t>
      </w:r>
      <w:r w:rsidRPr="00B90A21">
        <w:rPr>
          <w:rFonts w:ascii="Euphemia" w:hAnsi="Euphemia"/>
          <w:b/>
          <w:smallCaps/>
          <w:sz w:val="28"/>
          <w:szCs w:val="28"/>
        </w:rPr>
        <w:t xml:space="preserve">ents and Producers Choose </w:t>
      </w:r>
      <w:proofErr w:type="spellStart"/>
      <w:r w:rsidRPr="00B90A21">
        <w:rPr>
          <w:rFonts w:ascii="Euphemia" w:hAnsi="Euphemia"/>
          <w:b/>
          <w:smallCaps/>
          <w:sz w:val="28"/>
          <w:szCs w:val="28"/>
        </w:rPr>
        <w:t>Secor</w:t>
      </w:r>
      <w:proofErr w:type="spellEnd"/>
      <w:r w:rsidRPr="00B90A21">
        <w:rPr>
          <w:rFonts w:ascii="Euphemia" w:hAnsi="Euphemia"/>
          <w:b/>
          <w:smallCaps/>
          <w:sz w:val="28"/>
          <w:szCs w:val="28"/>
        </w:rPr>
        <w:t xml:space="preserve"> Advisors:</w:t>
      </w:r>
      <w:r w:rsidR="00D1776F" w:rsidRPr="00D1776F">
        <w:rPr>
          <w:rFonts w:ascii="Euphemia" w:hAnsi="Euphemia"/>
          <w:b/>
          <w:smallCaps/>
          <w:sz w:val="28"/>
          <w:szCs w:val="28"/>
        </w:rPr>
        <w:t xml:space="preserve"> </w:t>
      </w:r>
    </w:p>
    <w:p w:rsidR="00B90A21" w:rsidRPr="00D1776F" w:rsidRDefault="00B90A21" w:rsidP="00D1776F">
      <w:pPr>
        <w:spacing w:before="100" w:beforeAutospacing="1" w:after="100" w:afterAutospacing="1"/>
        <w:rPr>
          <w:rFonts w:ascii="Euphemia" w:hAnsi="Euphemia"/>
          <w:b/>
          <w:smallCaps/>
          <w:sz w:val="28"/>
          <w:szCs w:val="28"/>
        </w:rPr>
      </w:pPr>
    </w:p>
    <w:tbl>
      <w:tblPr>
        <w:tblW w:w="93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7078"/>
      </w:tblGrid>
      <w:tr w:rsidR="00617383" w:rsidRPr="00B90A21" w:rsidTr="00813293">
        <w:trPr>
          <w:tblCellSpacing w:w="15" w:type="dxa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D1776F" w:rsidRPr="00903838" w:rsidRDefault="005361A2" w:rsidP="005361A2">
            <w:pPr>
              <w:rPr>
                <w:rStyle w:val="Strong"/>
                <w:rFonts w:ascii="Verdana" w:hAnsi="Verdana" w:cs="Narkisim"/>
              </w:rPr>
            </w:pPr>
            <w:r w:rsidRPr="00903838">
              <w:rPr>
                <w:rStyle w:val="Strong"/>
                <w:rFonts w:ascii="Verdana" w:hAnsi="Verdana" w:cs="Narkisim"/>
              </w:rPr>
              <w:t>Independence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76F" w:rsidRPr="00D1776F" w:rsidRDefault="005361A2" w:rsidP="00D177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Operate as an independent sales organ</w:t>
            </w:r>
            <w:r w:rsidR="00280DF0">
              <w:rPr>
                <w:rFonts w:ascii="Euphemia" w:hAnsi="Euphemia"/>
                <w:b/>
              </w:rPr>
              <w:t>ization not tied to any carrier</w:t>
            </w:r>
            <w:r w:rsidRPr="00B90A21">
              <w:rPr>
                <w:rFonts w:ascii="Euphemia" w:hAnsi="Euphemia"/>
                <w:b/>
              </w:rPr>
              <w:t xml:space="preserve">.   </w:t>
            </w:r>
          </w:p>
          <w:p w:rsidR="00D1776F" w:rsidRPr="00D1776F" w:rsidRDefault="005361A2" w:rsidP="00D177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Repres</w:t>
            </w:r>
            <w:r w:rsidR="00280DF0">
              <w:rPr>
                <w:rFonts w:ascii="Euphemia" w:hAnsi="Euphemia"/>
                <w:b/>
              </w:rPr>
              <w:t>ent the top 30 carriers in the North A</w:t>
            </w:r>
            <w:r w:rsidRPr="00B90A21">
              <w:rPr>
                <w:rFonts w:ascii="Euphemia" w:hAnsi="Euphemia"/>
                <w:b/>
              </w:rPr>
              <w:t>merica</w:t>
            </w:r>
          </w:p>
          <w:p w:rsidR="00D1776F" w:rsidRPr="00D1776F" w:rsidRDefault="005361A2" w:rsidP="00D177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Take pride in finding the best solution for the client</w:t>
            </w:r>
          </w:p>
        </w:tc>
      </w:tr>
      <w:tr w:rsidR="00617383" w:rsidRPr="00B90A21" w:rsidTr="00D1776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D1776F" w:rsidRPr="00903838" w:rsidRDefault="005361A2" w:rsidP="005361A2">
            <w:pPr>
              <w:rPr>
                <w:rStyle w:val="Strong"/>
                <w:rFonts w:ascii="Verdana" w:hAnsi="Verdana" w:cs="Narkisim"/>
              </w:rPr>
            </w:pPr>
            <w:r w:rsidRPr="00903838">
              <w:rPr>
                <w:rStyle w:val="Strong"/>
                <w:rFonts w:ascii="Verdana" w:hAnsi="Verdana" w:cs="Narkisim"/>
              </w:rPr>
              <w:t>Knowledge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383" w:rsidRPr="00B90A21" w:rsidRDefault="005361A2" w:rsidP="00DF4EA3">
            <w:pPr>
              <w:numPr>
                <w:ilvl w:val="0"/>
                <w:numId w:val="2"/>
              </w:numPr>
              <w:spacing w:before="100" w:beforeAutospacing="1" w:after="120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Holding advanced certifications in</w:t>
            </w:r>
            <w:r w:rsidR="00280DF0">
              <w:rPr>
                <w:rFonts w:ascii="Euphemia" w:hAnsi="Euphemia"/>
                <w:b/>
              </w:rPr>
              <w:t>cluding CFA and CLU</w:t>
            </w:r>
            <w:r w:rsidRPr="00B90A21">
              <w:rPr>
                <w:rFonts w:ascii="Euphemia" w:hAnsi="Euphemia"/>
                <w:b/>
              </w:rPr>
              <w:t xml:space="preserve"> professional designations</w:t>
            </w:r>
          </w:p>
          <w:p w:rsidR="00D1776F" w:rsidRPr="00D1776F" w:rsidRDefault="005361A2" w:rsidP="00DF4EA3">
            <w:pPr>
              <w:numPr>
                <w:ilvl w:val="0"/>
                <w:numId w:val="2"/>
              </w:numPr>
              <w:spacing w:before="100" w:beforeAutospacing="1" w:after="120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Have detailed knowledge on the major carriers and their products</w:t>
            </w:r>
          </w:p>
          <w:p w:rsidR="00D1776F" w:rsidRPr="00D1776F" w:rsidRDefault="00D1776F" w:rsidP="00D177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</w:p>
        </w:tc>
      </w:tr>
      <w:tr w:rsidR="00617383" w:rsidRPr="00B90A21" w:rsidTr="00D1776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D1776F" w:rsidRPr="00903838" w:rsidRDefault="005361A2" w:rsidP="005361A2">
            <w:pPr>
              <w:rPr>
                <w:rStyle w:val="Strong"/>
                <w:rFonts w:ascii="Verdana" w:hAnsi="Verdana" w:cs="Narkisim"/>
              </w:rPr>
            </w:pPr>
            <w:r w:rsidRPr="00903838">
              <w:rPr>
                <w:rStyle w:val="Strong"/>
                <w:rFonts w:ascii="Verdana" w:hAnsi="Verdana" w:cs="Narkisim"/>
              </w:rPr>
              <w:t>Integrity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383" w:rsidRPr="00B90A21" w:rsidRDefault="005361A2" w:rsidP="00D1776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We offer the highest level of professionalism</w:t>
            </w:r>
          </w:p>
          <w:p w:rsidR="00D1776F" w:rsidRPr="00D1776F" w:rsidRDefault="005361A2" w:rsidP="0061738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Offer advanced third party technology that allows clients to validate recommendations</w:t>
            </w:r>
          </w:p>
        </w:tc>
      </w:tr>
      <w:tr w:rsidR="00617383" w:rsidRPr="00B90A21" w:rsidTr="00D1776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D1776F" w:rsidRPr="00903838" w:rsidRDefault="005361A2" w:rsidP="005361A2">
            <w:pPr>
              <w:rPr>
                <w:rStyle w:val="Strong"/>
                <w:rFonts w:ascii="Verdana" w:hAnsi="Verdana" w:cs="Narkisim"/>
              </w:rPr>
            </w:pPr>
            <w:r w:rsidRPr="00903838">
              <w:rPr>
                <w:rStyle w:val="Strong"/>
                <w:rFonts w:ascii="Verdana" w:hAnsi="Verdana" w:cs="Narkisim"/>
              </w:rPr>
              <w:t>Professionalism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76F" w:rsidRPr="00D1776F" w:rsidRDefault="005361A2" w:rsidP="0061738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 xml:space="preserve">We conduct ourselves in a professional manner based on objective facts.  </w:t>
            </w:r>
          </w:p>
        </w:tc>
      </w:tr>
      <w:tr w:rsidR="00617383" w:rsidRPr="00B90A21" w:rsidTr="00813293">
        <w:trPr>
          <w:trHeight w:val="1284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D1776F" w:rsidRPr="00903838" w:rsidRDefault="005361A2" w:rsidP="005361A2">
            <w:pPr>
              <w:rPr>
                <w:rStyle w:val="Strong"/>
                <w:rFonts w:ascii="Verdana" w:hAnsi="Verdana" w:cs="Narkisim"/>
              </w:rPr>
            </w:pPr>
            <w:r w:rsidRPr="00903838">
              <w:rPr>
                <w:rStyle w:val="Strong"/>
                <w:rFonts w:ascii="Verdana" w:hAnsi="Verdana" w:cs="Narkisim"/>
              </w:rPr>
              <w:t>Accessibility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76F" w:rsidRPr="00B90A21" w:rsidRDefault="005361A2" w:rsidP="00D1776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Clients can assess us through their financial professional</w:t>
            </w:r>
          </w:p>
          <w:p w:rsidR="00813293" w:rsidRPr="00D1776F" w:rsidRDefault="00813293" w:rsidP="00D1776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</w:p>
        </w:tc>
      </w:tr>
      <w:tr w:rsidR="00617383" w:rsidRPr="00B90A21" w:rsidTr="00D1776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D1776F" w:rsidRPr="00903838" w:rsidRDefault="005361A2" w:rsidP="005361A2">
            <w:pPr>
              <w:rPr>
                <w:rStyle w:val="Strong"/>
                <w:rFonts w:ascii="Verdana" w:hAnsi="Verdana" w:cs="Narkisim"/>
              </w:rPr>
            </w:pPr>
            <w:r w:rsidRPr="00903838">
              <w:rPr>
                <w:rStyle w:val="Strong"/>
                <w:rFonts w:ascii="Verdana" w:hAnsi="Verdana" w:cs="Narkisim"/>
              </w:rPr>
              <w:t xml:space="preserve">Transparency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76F" w:rsidRPr="00D1776F" w:rsidRDefault="005361A2" w:rsidP="001A3CE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Full disclosure to client.  Comparison of underwriting options</w:t>
            </w:r>
          </w:p>
        </w:tc>
      </w:tr>
      <w:tr w:rsidR="005361A2" w:rsidRPr="00B90A21" w:rsidTr="0081329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813293" w:rsidRPr="00903838" w:rsidRDefault="005361A2" w:rsidP="005361A2">
            <w:pPr>
              <w:rPr>
                <w:rStyle w:val="Strong"/>
                <w:rFonts w:ascii="Verdana" w:hAnsi="Verdana" w:cs="Narkisim"/>
              </w:rPr>
            </w:pPr>
            <w:r w:rsidRPr="00903838">
              <w:rPr>
                <w:rStyle w:val="Strong"/>
                <w:rFonts w:ascii="Verdana" w:hAnsi="Verdana" w:cs="Narkisim"/>
              </w:rPr>
              <w:t>Full range of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293" w:rsidRPr="00D1776F" w:rsidRDefault="005361A2" w:rsidP="007743C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Euphemia" w:hAnsi="Euphemia"/>
                <w:b/>
              </w:rPr>
            </w:pPr>
            <w:r w:rsidRPr="00B90A21">
              <w:rPr>
                <w:rFonts w:ascii="Euphemia" w:hAnsi="Euphemia"/>
                <w:b/>
              </w:rPr>
              <w:t>Financial planning - estate planning – business continuity planning - retirement planning - education planning - long-term care -  life insurance – alternative assets including annuities- trust-related services</w:t>
            </w:r>
          </w:p>
        </w:tc>
      </w:tr>
    </w:tbl>
    <w:p w:rsidR="0019007F" w:rsidRPr="00B90A21" w:rsidRDefault="0019007F"/>
    <w:p w:rsidR="00FC197A" w:rsidRPr="00B90A21" w:rsidRDefault="00FC197A"/>
    <w:p w:rsidR="00FC197A" w:rsidRPr="00B90A21" w:rsidRDefault="00FC197A"/>
    <w:p w:rsidR="00FC197A" w:rsidRPr="00B90A21" w:rsidRDefault="00FC197A"/>
    <w:p w:rsidR="00FC197A" w:rsidRPr="00B90A21" w:rsidRDefault="00FC197A"/>
    <w:p w:rsidR="00FC197A" w:rsidRPr="00B90A21" w:rsidRDefault="00FC197A"/>
    <w:p w:rsidR="00FC197A" w:rsidRPr="00B90A21" w:rsidRDefault="00FC197A"/>
    <w:p w:rsidR="00FC197A" w:rsidRPr="00B90A21" w:rsidRDefault="00FC197A"/>
    <w:p w:rsidR="00FC197A" w:rsidRDefault="00FC197A"/>
    <w:p w:rsidR="00B90A21" w:rsidRDefault="00B90A21"/>
    <w:p w:rsidR="00B90A21" w:rsidRDefault="00B90A21"/>
    <w:p w:rsidR="00B90A21" w:rsidRDefault="00B90A21"/>
    <w:p w:rsidR="00B90A21" w:rsidRPr="00B90A21" w:rsidRDefault="00B90A21"/>
    <w:p w:rsidR="00FC197A" w:rsidRPr="00B90A21" w:rsidRDefault="00FC197A"/>
    <w:p w:rsidR="00FC197A" w:rsidRPr="00B90A21" w:rsidRDefault="00FC197A"/>
    <w:p w:rsidR="00FC197A" w:rsidRPr="00B90A21" w:rsidRDefault="00FC197A"/>
    <w:p w:rsidR="00FC197A" w:rsidRPr="00B90A21" w:rsidRDefault="00FC197A"/>
    <w:p w:rsidR="00FC197A" w:rsidRPr="00B90A21" w:rsidRDefault="00620B4E" w:rsidP="00B90A21">
      <w:pPr>
        <w:spacing w:after="240"/>
        <w:rPr>
          <w:rFonts w:ascii="Euphemia" w:hAnsi="Euphemia"/>
          <w:b/>
          <w:sz w:val="22"/>
          <w:szCs w:val="22"/>
        </w:rPr>
      </w:pPr>
      <w:r w:rsidRPr="00B90A21">
        <w:rPr>
          <w:rFonts w:ascii="Euphemia" w:hAnsi="Euphemia"/>
          <w:b/>
          <w:sz w:val="22"/>
          <w:szCs w:val="22"/>
        </w:rPr>
        <w:lastRenderedPageBreak/>
        <w:t>Our Financial Professional</w:t>
      </w:r>
      <w:r w:rsidR="00FC197A" w:rsidRPr="00B90A21">
        <w:rPr>
          <w:rFonts w:ascii="Euphemia" w:hAnsi="Euphemia"/>
          <w:b/>
          <w:sz w:val="22"/>
          <w:szCs w:val="22"/>
        </w:rPr>
        <w:t xml:space="preserve"> Consulting services are designed to fill the gaps, with a suite of capabilities to support your </w:t>
      </w:r>
      <w:r w:rsidRPr="00B90A21">
        <w:rPr>
          <w:rFonts w:ascii="Euphemia" w:hAnsi="Euphemia"/>
          <w:b/>
          <w:sz w:val="22"/>
          <w:szCs w:val="22"/>
        </w:rPr>
        <w:t xml:space="preserve">business practice </w:t>
      </w:r>
      <w:r w:rsidR="00FC197A" w:rsidRPr="00B90A21">
        <w:rPr>
          <w:rFonts w:ascii="Euphemia" w:hAnsi="Euphemia"/>
          <w:b/>
          <w:sz w:val="22"/>
          <w:szCs w:val="22"/>
        </w:rPr>
        <w:t>ac</w:t>
      </w:r>
      <w:r w:rsidRPr="00B90A21">
        <w:rPr>
          <w:rFonts w:ascii="Euphemia" w:hAnsi="Euphemia"/>
          <w:b/>
          <w:sz w:val="22"/>
          <w:szCs w:val="22"/>
        </w:rPr>
        <w:t>ross the complete financial service</w:t>
      </w:r>
      <w:r w:rsidR="00FC197A" w:rsidRPr="00B90A21">
        <w:rPr>
          <w:rFonts w:ascii="Euphemia" w:hAnsi="Euphemia"/>
          <w:b/>
          <w:sz w:val="22"/>
          <w:szCs w:val="22"/>
        </w:rPr>
        <w:t xml:space="preserve"> lifecycl</w:t>
      </w:r>
      <w:r w:rsidR="00B90A21">
        <w:rPr>
          <w:rFonts w:ascii="Euphemia" w:hAnsi="Euphemia"/>
          <w:b/>
          <w:sz w:val="22"/>
          <w:szCs w:val="22"/>
        </w:rPr>
        <w:t xml:space="preserve">e. We offer </w:t>
      </w:r>
      <w:r w:rsidRPr="00B90A21">
        <w:rPr>
          <w:rFonts w:ascii="Euphemia" w:hAnsi="Euphemia"/>
          <w:b/>
          <w:sz w:val="22"/>
          <w:szCs w:val="22"/>
        </w:rPr>
        <w:t xml:space="preserve">complementary </w:t>
      </w:r>
      <w:r w:rsidR="005361A2" w:rsidRPr="00B90A21">
        <w:rPr>
          <w:rFonts w:ascii="Euphemia" w:hAnsi="Euphemia"/>
          <w:b/>
          <w:sz w:val="22"/>
          <w:szCs w:val="22"/>
        </w:rPr>
        <w:t>expertise,</w:t>
      </w:r>
      <w:r w:rsidR="00FC197A" w:rsidRPr="00B90A21">
        <w:rPr>
          <w:rFonts w:ascii="Euphemia" w:hAnsi="Euphemia"/>
          <w:b/>
          <w:sz w:val="22"/>
          <w:szCs w:val="22"/>
        </w:rPr>
        <w:t xml:space="preserve"> </w:t>
      </w:r>
      <w:r w:rsidRPr="00B90A21">
        <w:rPr>
          <w:rFonts w:ascii="Euphemia" w:hAnsi="Euphemia"/>
          <w:b/>
          <w:sz w:val="22"/>
          <w:szCs w:val="22"/>
        </w:rPr>
        <w:t>point of sale support</w:t>
      </w:r>
      <w:r w:rsidR="005361A2" w:rsidRPr="00B90A21">
        <w:rPr>
          <w:rFonts w:ascii="Euphemia" w:hAnsi="Euphemia"/>
          <w:b/>
          <w:sz w:val="22"/>
          <w:szCs w:val="22"/>
        </w:rPr>
        <w:t xml:space="preserve">, </w:t>
      </w:r>
      <w:r w:rsidR="00B90A21">
        <w:rPr>
          <w:rFonts w:ascii="Euphemia" w:hAnsi="Euphemia"/>
          <w:b/>
          <w:sz w:val="22"/>
          <w:szCs w:val="22"/>
        </w:rPr>
        <w:t xml:space="preserve">superior case management, </w:t>
      </w:r>
      <w:r w:rsidR="005361A2" w:rsidRPr="00B90A21">
        <w:rPr>
          <w:rFonts w:ascii="Euphemia" w:hAnsi="Euphemia"/>
          <w:b/>
          <w:sz w:val="22"/>
          <w:szCs w:val="22"/>
        </w:rPr>
        <w:t>as well as access to new revenue opportunities</w:t>
      </w:r>
      <w:r w:rsidR="00B90A21">
        <w:rPr>
          <w:rFonts w:ascii="Euphemia" w:hAnsi="Euphemia"/>
          <w:b/>
          <w:sz w:val="22"/>
          <w:szCs w:val="22"/>
        </w:rPr>
        <w:t>, and through our support services, staff augmentation.</w:t>
      </w:r>
      <w:r w:rsidR="00FC197A" w:rsidRPr="00B90A21">
        <w:rPr>
          <w:rFonts w:ascii="Euphemia" w:hAnsi="Euphemia"/>
          <w:b/>
          <w:sz w:val="22"/>
          <w:szCs w:val="22"/>
        </w:rPr>
        <w:t xml:space="preserve"> </w:t>
      </w:r>
      <w:r w:rsidRPr="00B90A21">
        <w:rPr>
          <w:rFonts w:ascii="Euphemia" w:hAnsi="Euphemia"/>
          <w:b/>
          <w:sz w:val="22"/>
          <w:szCs w:val="22"/>
        </w:rPr>
        <w:t xml:space="preserve"> </w:t>
      </w:r>
      <w:r w:rsidR="00FC197A" w:rsidRPr="00B90A21">
        <w:rPr>
          <w:rFonts w:ascii="Euphemia" w:hAnsi="Euphemia"/>
          <w:b/>
          <w:sz w:val="22"/>
          <w:szCs w:val="22"/>
        </w:rPr>
        <w:t>By taking advantage o</w:t>
      </w:r>
      <w:r w:rsidRPr="00B90A21">
        <w:rPr>
          <w:rFonts w:ascii="Euphemia" w:hAnsi="Euphemia"/>
          <w:b/>
          <w:sz w:val="22"/>
          <w:szCs w:val="22"/>
        </w:rPr>
        <w:t>f our extensive case management</w:t>
      </w:r>
      <w:r w:rsidR="00FC197A" w:rsidRPr="00B90A21">
        <w:rPr>
          <w:rFonts w:ascii="Euphemia" w:hAnsi="Euphemia"/>
          <w:b/>
          <w:sz w:val="22"/>
          <w:szCs w:val="22"/>
        </w:rPr>
        <w:t xml:space="preserve"> background</w:t>
      </w:r>
      <w:r w:rsidR="00B90A21">
        <w:rPr>
          <w:rFonts w:ascii="Euphemia" w:hAnsi="Euphemia"/>
          <w:b/>
          <w:sz w:val="22"/>
          <w:szCs w:val="22"/>
        </w:rPr>
        <w:t xml:space="preserve"> and superior sales support</w:t>
      </w:r>
      <w:r w:rsidRPr="00B90A21">
        <w:rPr>
          <w:rFonts w:ascii="Euphemia" w:hAnsi="Euphemia"/>
          <w:b/>
          <w:sz w:val="22"/>
          <w:szCs w:val="22"/>
        </w:rPr>
        <w:t xml:space="preserve">, we can </w:t>
      </w:r>
      <w:r w:rsidR="00FC197A" w:rsidRPr="00B90A21">
        <w:rPr>
          <w:rFonts w:ascii="Euphemia" w:hAnsi="Euphemia"/>
          <w:b/>
          <w:sz w:val="22"/>
          <w:szCs w:val="22"/>
        </w:rPr>
        <w:t>eliminate your constraints</w:t>
      </w:r>
      <w:r w:rsidRPr="00B90A21">
        <w:rPr>
          <w:rFonts w:ascii="Euphemia" w:hAnsi="Euphemia"/>
          <w:b/>
          <w:sz w:val="22"/>
          <w:szCs w:val="22"/>
        </w:rPr>
        <w:t xml:space="preserve"> in </w:t>
      </w:r>
      <w:r w:rsidR="00FC197A" w:rsidRPr="00B90A21">
        <w:rPr>
          <w:rFonts w:ascii="Euphemia" w:hAnsi="Euphemia"/>
          <w:b/>
          <w:sz w:val="22"/>
          <w:szCs w:val="22"/>
        </w:rPr>
        <w:t>bring</w:t>
      </w:r>
      <w:r w:rsidRPr="00B90A21">
        <w:rPr>
          <w:rFonts w:ascii="Euphemia" w:hAnsi="Euphemia"/>
          <w:b/>
          <w:sz w:val="22"/>
          <w:szCs w:val="22"/>
        </w:rPr>
        <w:t xml:space="preserve">ing </w:t>
      </w:r>
      <w:r w:rsidR="005361A2" w:rsidRPr="00B90A21">
        <w:rPr>
          <w:rFonts w:ascii="Euphemia" w:hAnsi="Euphemia"/>
          <w:b/>
          <w:sz w:val="22"/>
          <w:szCs w:val="22"/>
        </w:rPr>
        <w:t xml:space="preserve">in </w:t>
      </w:r>
      <w:r w:rsidRPr="00B90A21">
        <w:rPr>
          <w:rFonts w:ascii="Euphemia" w:hAnsi="Euphemia"/>
          <w:b/>
          <w:sz w:val="22"/>
          <w:szCs w:val="22"/>
        </w:rPr>
        <w:t xml:space="preserve">new business </w:t>
      </w:r>
      <w:r w:rsidR="005361A2" w:rsidRPr="00B90A21">
        <w:rPr>
          <w:rFonts w:ascii="Euphemia" w:hAnsi="Euphemia"/>
          <w:b/>
          <w:sz w:val="22"/>
          <w:szCs w:val="22"/>
        </w:rPr>
        <w:t>opportunities and incremental income</w:t>
      </w:r>
      <w:r w:rsidR="00FC197A" w:rsidRPr="00B90A21">
        <w:rPr>
          <w:rFonts w:ascii="Euphemia" w:hAnsi="Euphemia"/>
          <w:b/>
          <w:sz w:val="22"/>
          <w:szCs w:val="22"/>
        </w:rPr>
        <w:t>. </w:t>
      </w:r>
    </w:p>
    <w:tbl>
      <w:tblPr>
        <w:tblW w:w="93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3"/>
        <w:gridCol w:w="6922"/>
      </w:tblGrid>
      <w:tr w:rsidR="00B90A21" w:rsidRPr="00B90A21" w:rsidTr="00B90A21">
        <w:trPr>
          <w:tblCellSpacing w:w="15" w:type="dxa"/>
          <w:jc w:val="center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FC197A" w:rsidRPr="00D1776F" w:rsidRDefault="007862DD" w:rsidP="007862DD">
            <w:pPr>
              <w:jc w:val="right"/>
              <w:rPr>
                <w:rFonts w:ascii="Verdana" w:hAnsi="Verdana"/>
                <w:b/>
              </w:rPr>
            </w:pPr>
            <w:r w:rsidRPr="00903838">
              <w:rPr>
                <w:rFonts w:ascii="Verdana" w:hAnsi="Verdana"/>
                <w:b/>
                <w:bCs/>
              </w:rPr>
              <w:t xml:space="preserve">Advanced Client Advisor Services  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7A" w:rsidRPr="00D1776F" w:rsidRDefault="00FC197A" w:rsidP="007743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 xml:space="preserve">Operate as an independent sales organization not tied to any carriers.  </w:t>
            </w:r>
            <w:r w:rsidRPr="00D1776F">
              <w:rPr>
                <w:rFonts w:ascii="Euphemia" w:hAnsi="Euphemia" w:cs="Arial"/>
                <w:b/>
              </w:rPr>
              <w:t xml:space="preserve"> </w:t>
            </w:r>
          </w:p>
          <w:p w:rsidR="00FC197A" w:rsidRPr="00D1776F" w:rsidRDefault="00FC197A" w:rsidP="007743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>Represent the top 30 carriers in the North America</w:t>
            </w:r>
          </w:p>
          <w:p w:rsidR="00FC197A" w:rsidRPr="00D1776F" w:rsidRDefault="00FC197A" w:rsidP="007743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>Take pride in finding the best solution for the client</w:t>
            </w:r>
          </w:p>
        </w:tc>
      </w:tr>
      <w:tr w:rsidR="00B90A21" w:rsidRPr="00B90A21" w:rsidTr="007743C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FC197A" w:rsidRPr="00D1776F" w:rsidRDefault="007862DD" w:rsidP="007743C2">
            <w:pPr>
              <w:jc w:val="right"/>
              <w:rPr>
                <w:rFonts w:ascii="Verdana" w:hAnsi="Verdana"/>
                <w:b/>
              </w:rPr>
            </w:pPr>
            <w:r w:rsidRPr="00903838">
              <w:rPr>
                <w:rFonts w:ascii="Verdana" w:hAnsi="Verdana"/>
                <w:b/>
              </w:rPr>
              <w:t>Biometric Longevity Planning 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7A" w:rsidRPr="00B90A21" w:rsidRDefault="00FC197A" w:rsidP="007743C2">
            <w:pPr>
              <w:numPr>
                <w:ilvl w:val="0"/>
                <w:numId w:val="2"/>
              </w:numPr>
              <w:spacing w:before="100" w:beforeAutospacing="1" w:after="120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>Holding advanced certifications including CFA, and CLU professional designations</w:t>
            </w:r>
          </w:p>
          <w:p w:rsidR="00FC197A" w:rsidRPr="00D1776F" w:rsidRDefault="00FC197A" w:rsidP="005361A2">
            <w:pPr>
              <w:numPr>
                <w:ilvl w:val="0"/>
                <w:numId w:val="2"/>
              </w:numPr>
              <w:spacing w:before="100" w:beforeAutospacing="1" w:after="120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>Have detailed knowledge on the major carriers and their products</w:t>
            </w:r>
          </w:p>
        </w:tc>
      </w:tr>
      <w:tr w:rsidR="00B90A21" w:rsidRPr="00B90A21" w:rsidTr="007743C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FC197A" w:rsidRPr="00D1776F" w:rsidRDefault="007862DD" w:rsidP="007862DD">
            <w:pPr>
              <w:jc w:val="right"/>
              <w:rPr>
                <w:rFonts w:ascii="Verdana" w:hAnsi="Verdana"/>
                <w:b/>
              </w:rPr>
            </w:pPr>
            <w:r w:rsidRPr="00903838">
              <w:rPr>
                <w:rFonts w:ascii="Verdana" w:hAnsi="Verdana"/>
                <w:b/>
                <w:bCs/>
              </w:rPr>
              <w:t>Advanced Underwriting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7A" w:rsidRPr="00B90A21" w:rsidRDefault="00FC197A" w:rsidP="007743C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>We offer the highest level of professionalism</w:t>
            </w:r>
          </w:p>
          <w:p w:rsidR="00FC197A" w:rsidRPr="00D1776F" w:rsidRDefault="00FC197A" w:rsidP="007743C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>Offer advanced third party technology that allows clients to validate recommendations</w:t>
            </w:r>
          </w:p>
        </w:tc>
      </w:tr>
      <w:tr w:rsidR="00B90A21" w:rsidRPr="00B90A21" w:rsidTr="007743C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FC197A" w:rsidRPr="00D1776F" w:rsidRDefault="007862DD" w:rsidP="007743C2">
            <w:pPr>
              <w:jc w:val="right"/>
              <w:rPr>
                <w:rFonts w:ascii="Verdana" w:hAnsi="Verdana"/>
                <w:b/>
              </w:rPr>
            </w:pPr>
            <w:r w:rsidRPr="00903838">
              <w:rPr>
                <w:rFonts w:ascii="Verdana" w:hAnsi="Verdana"/>
                <w:b/>
                <w:bCs/>
              </w:rPr>
              <w:t>Sophisticated Modeling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7A" w:rsidRPr="00D1776F" w:rsidRDefault="00FC197A" w:rsidP="007743C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 xml:space="preserve">We conduct ourselves in a professional manner based on objective facts. </w:t>
            </w:r>
            <w:r w:rsidRPr="00D1776F">
              <w:rPr>
                <w:rFonts w:ascii="Euphemia" w:hAnsi="Euphemia" w:cs="Arial"/>
                <w:b/>
              </w:rPr>
              <w:t xml:space="preserve"> </w:t>
            </w:r>
          </w:p>
        </w:tc>
      </w:tr>
      <w:tr w:rsidR="00B90A21" w:rsidRPr="00B90A21" w:rsidTr="007743C2">
        <w:trPr>
          <w:trHeight w:val="1284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FC197A" w:rsidRPr="00D1776F" w:rsidRDefault="007862DD" w:rsidP="00F705A6">
            <w:pPr>
              <w:jc w:val="right"/>
              <w:rPr>
                <w:rFonts w:ascii="Verdana" w:hAnsi="Verdana"/>
                <w:b/>
              </w:rPr>
            </w:pPr>
            <w:r w:rsidRPr="00903838">
              <w:rPr>
                <w:rFonts w:ascii="Verdana" w:hAnsi="Verdana"/>
                <w:b/>
                <w:bCs/>
              </w:rPr>
              <w:t xml:space="preserve"> Clie</w:t>
            </w:r>
            <w:r w:rsidR="00F705A6" w:rsidRPr="00903838">
              <w:rPr>
                <w:rFonts w:ascii="Verdana" w:hAnsi="Verdana"/>
                <w:b/>
                <w:bCs/>
              </w:rPr>
              <w:t xml:space="preserve">nt First Comprehensive Solutions </w:t>
            </w:r>
            <w:r w:rsidRPr="00903838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7A" w:rsidRPr="00D1776F" w:rsidRDefault="002D4997" w:rsidP="002D499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 xml:space="preserve">Multi-carrier comparison shopping </w:t>
            </w:r>
          </w:p>
        </w:tc>
      </w:tr>
      <w:tr w:rsidR="00B90A21" w:rsidRPr="00B90A21" w:rsidTr="007743C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FC197A" w:rsidRPr="00D1776F" w:rsidRDefault="007862DD" w:rsidP="007743C2">
            <w:pPr>
              <w:jc w:val="right"/>
              <w:rPr>
                <w:rFonts w:ascii="Verdana" w:hAnsi="Verdana"/>
                <w:b/>
              </w:rPr>
            </w:pPr>
            <w:r w:rsidRPr="00903838">
              <w:rPr>
                <w:rFonts w:ascii="Verdana" w:hAnsi="Verdana"/>
                <w:b/>
                <w:bCs/>
              </w:rPr>
              <w:t>Policy Review</w:t>
            </w:r>
            <w:r w:rsidR="00FC197A" w:rsidRPr="00903838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7A" w:rsidRPr="00D1776F" w:rsidRDefault="00FC197A" w:rsidP="007743C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>Full disclosure to client.  Comparison of underwriting options</w:t>
            </w:r>
          </w:p>
        </w:tc>
      </w:tr>
      <w:tr w:rsidR="002D4997" w:rsidRPr="00B90A21" w:rsidTr="005361A2">
        <w:trPr>
          <w:trHeight w:val="195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FC197A" w:rsidRPr="00D1776F" w:rsidRDefault="007862DD" w:rsidP="007862DD">
            <w:pPr>
              <w:jc w:val="right"/>
              <w:rPr>
                <w:rFonts w:ascii="Verdana" w:hAnsi="Verdana"/>
                <w:b/>
                <w:bCs/>
              </w:rPr>
            </w:pPr>
            <w:r w:rsidRPr="00903838">
              <w:rPr>
                <w:rFonts w:ascii="Verdana" w:hAnsi="Verdana"/>
                <w:b/>
                <w:bCs/>
              </w:rPr>
              <w:t xml:space="preserve"> </w:t>
            </w:r>
            <w:r w:rsidR="002D4997" w:rsidRPr="00903838">
              <w:rPr>
                <w:rFonts w:ascii="Verdana" w:hAnsi="Verdana"/>
                <w:b/>
                <w:bCs/>
              </w:rPr>
              <w:t>Client/</w:t>
            </w:r>
            <w:r w:rsidRPr="00903838">
              <w:rPr>
                <w:rFonts w:ascii="Verdana" w:hAnsi="Verdana"/>
                <w:b/>
                <w:bCs/>
              </w:rPr>
              <w:t>Family Business Evaluation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5A6" w:rsidRPr="00D1776F" w:rsidRDefault="00FC197A" w:rsidP="005361A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D1776F">
              <w:rPr>
                <w:rFonts w:ascii="Euphemia" w:hAnsi="Euphemia" w:cs="Arial"/>
                <w:b/>
              </w:rPr>
              <w:t>Financial P</w:t>
            </w:r>
            <w:r w:rsidRPr="00B90A21">
              <w:rPr>
                <w:rFonts w:ascii="Euphemia" w:hAnsi="Euphemia" w:cs="Arial"/>
                <w:b/>
              </w:rPr>
              <w:t xml:space="preserve">lanning </w:t>
            </w:r>
            <w:r w:rsidRPr="00D1776F">
              <w:rPr>
                <w:rFonts w:ascii="Euphemia" w:hAnsi="Euphemia" w:cs="Arial"/>
                <w:b/>
              </w:rPr>
              <w:t xml:space="preserve">- Estate Planning </w:t>
            </w:r>
            <w:r w:rsidRPr="00B90A21">
              <w:rPr>
                <w:rFonts w:ascii="Euphemia" w:hAnsi="Euphemia" w:cs="Arial"/>
                <w:b/>
              </w:rPr>
              <w:t>– Business Continuity Planning -</w:t>
            </w:r>
            <w:r w:rsidRPr="00D1776F">
              <w:rPr>
                <w:rFonts w:ascii="Euphemia" w:hAnsi="Euphemia" w:cs="Arial"/>
                <w:b/>
              </w:rPr>
              <w:t xml:space="preserve"> Retirement Planning - Education Planning - Long-Te</w:t>
            </w:r>
            <w:r w:rsidRPr="00B90A21">
              <w:rPr>
                <w:rFonts w:ascii="Euphemia" w:hAnsi="Euphemia" w:cs="Arial"/>
                <w:b/>
              </w:rPr>
              <w:t>rm Care</w:t>
            </w:r>
            <w:r w:rsidRPr="00D1776F">
              <w:rPr>
                <w:rFonts w:ascii="Euphemia" w:hAnsi="Euphemia" w:cs="Arial"/>
                <w:b/>
              </w:rPr>
              <w:t xml:space="preserve"> </w:t>
            </w:r>
            <w:r w:rsidRPr="00B90A21">
              <w:rPr>
                <w:rFonts w:ascii="Euphemia" w:hAnsi="Euphemia" w:cs="Arial"/>
                <w:b/>
              </w:rPr>
              <w:t xml:space="preserve">- </w:t>
            </w:r>
            <w:r w:rsidRPr="00D1776F">
              <w:rPr>
                <w:rFonts w:ascii="Euphemia" w:hAnsi="Euphemia" w:cs="Arial"/>
                <w:b/>
              </w:rPr>
              <w:t xml:space="preserve"> </w:t>
            </w:r>
            <w:r w:rsidRPr="00B90A21">
              <w:rPr>
                <w:rFonts w:ascii="Euphemia" w:hAnsi="Euphemia" w:cs="Arial"/>
                <w:b/>
              </w:rPr>
              <w:t xml:space="preserve">Life </w:t>
            </w:r>
            <w:r w:rsidRPr="00D1776F">
              <w:rPr>
                <w:rFonts w:ascii="Euphemia" w:hAnsi="Euphemia" w:cs="Arial"/>
                <w:b/>
              </w:rPr>
              <w:t xml:space="preserve">Insurance </w:t>
            </w:r>
            <w:r w:rsidRPr="00B90A21">
              <w:rPr>
                <w:rFonts w:ascii="Euphemia" w:hAnsi="Euphemia" w:cs="Arial"/>
                <w:b/>
              </w:rPr>
              <w:t>–</w:t>
            </w:r>
            <w:r w:rsidRPr="00D1776F">
              <w:rPr>
                <w:rFonts w:ascii="Euphemia" w:hAnsi="Euphemia" w:cs="Arial"/>
                <w:b/>
              </w:rPr>
              <w:t xml:space="preserve"> </w:t>
            </w:r>
            <w:r w:rsidRPr="00B90A21">
              <w:rPr>
                <w:rFonts w:ascii="Euphemia" w:hAnsi="Euphemia" w:cs="Arial"/>
                <w:b/>
              </w:rPr>
              <w:t>Alter</w:t>
            </w:r>
            <w:r w:rsidR="00A77D32">
              <w:rPr>
                <w:rFonts w:ascii="Euphemia" w:hAnsi="Euphemia" w:cs="Arial"/>
                <w:b/>
              </w:rPr>
              <w:t>native Assets including Annuitie</w:t>
            </w:r>
            <w:r w:rsidRPr="00B90A21">
              <w:rPr>
                <w:rFonts w:ascii="Euphemia" w:hAnsi="Euphemia" w:cs="Arial"/>
                <w:b/>
              </w:rPr>
              <w:t xml:space="preserve">s- </w:t>
            </w:r>
            <w:r w:rsidRPr="00D1776F">
              <w:rPr>
                <w:rFonts w:ascii="Euphemia" w:hAnsi="Euphemia" w:cs="Arial"/>
                <w:b/>
              </w:rPr>
              <w:t>Trust-Related Services</w:t>
            </w:r>
          </w:p>
        </w:tc>
      </w:tr>
      <w:tr w:rsidR="00F705A6" w:rsidRPr="00B90A21" w:rsidTr="00F705A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F705A6" w:rsidRPr="00D1776F" w:rsidRDefault="002D4997" w:rsidP="002D4997">
            <w:pPr>
              <w:jc w:val="right"/>
              <w:rPr>
                <w:rFonts w:ascii="Verdana" w:hAnsi="Verdana"/>
                <w:b/>
                <w:bCs/>
              </w:rPr>
            </w:pPr>
            <w:r w:rsidRPr="00903838">
              <w:rPr>
                <w:rFonts w:ascii="Verdana" w:hAnsi="Verdana"/>
                <w:b/>
                <w:bCs/>
              </w:rPr>
              <w:t>Expert Case 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5A6" w:rsidRPr="00D1776F" w:rsidRDefault="002D4997" w:rsidP="005361A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>Employ comprehensive case management system</w:t>
            </w:r>
            <w:r w:rsidR="00F705A6" w:rsidRPr="00D1776F">
              <w:rPr>
                <w:rFonts w:ascii="Euphemia" w:hAnsi="Euphemia" w:cs="Arial"/>
                <w:b/>
              </w:rPr>
              <w:t xml:space="preserve"> </w:t>
            </w:r>
          </w:p>
        </w:tc>
      </w:tr>
      <w:tr w:rsidR="00B90A21" w:rsidRPr="00B90A21" w:rsidTr="002D499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2D4997" w:rsidRPr="00D1776F" w:rsidRDefault="002D4997" w:rsidP="007743C2">
            <w:pPr>
              <w:jc w:val="right"/>
              <w:rPr>
                <w:rFonts w:ascii="Verdana" w:hAnsi="Verdana"/>
                <w:b/>
                <w:bCs/>
              </w:rPr>
            </w:pPr>
            <w:r w:rsidRPr="00903838">
              <w:rPr>
                <w:rFonts w:ascii="Verdana" w:hAnsi="Verdana"/>
                <w:b/>
                <w:bCs/>
              </w:rPr>
              <w:t>Advanced Markets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997" w:rsidRPr="00B90A21" w:rsidRDefault="002D4997" w:rsidP="007743C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>Trusts structure</w:t>
            </w:r>
          </w:p>
          <w:p w:rsidR="002D4997" w:rsidRPr="00D1776F" w:rsidRDefault="002D4997" w:rsidP="007743C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 w:rsidRPr="00B90A21">
              <w:rPr>
                <w:rFonts w:ascii="Euphemia" w:hAnsi="Euphemia" w:cs="Arial"/>
                <w:b/>
              </w:rPr>
              <w:t xml:space="preserve">Premium Finance </w:t>
            </w:r>
            <w:r w:rsidRPr="00D1776F">
              <w:rPr>
                <w:rFonts w:ascii="Euphemia" w:hAnsi="Euphemia" w:cs="Arial"/>
                <w:b/>
              </w:rPr>
              <w:t xml:space="preserve"> </w:t>
            </w:r>
          </w:p>
        </w:tc>
      </w:tr>
      <w:tr w:rsidR="00B90A21" w:rsidRPr="00D1776F" w:rsidTr="00B90A2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D2"/>
            <w:vAlign w:val="center"/>
            <w:hideMark/>
          </w:tcPr>
          <w:p w:rsidR="00B90A21" w:rsidRPr="00D1776F" w:rsidRDefault="00B90A21" w:rsidP="007743C2">
            <w:pPr>
              <w:jc w:val="right"/>
              <w:rPr>
                <w:rFonts w:ascii="Verdana" w:hAnsi="Verdana"/>
                <w:b/>
                <w:bCs/>
              </w:rPr>
            </w:pPr>
            <w:r w:rsidRPr="00903838">
              <w:rPr>
                <w:rFonts w:ascii="Verdana" w:hAnsi="Verdana"/>
                <w:b/>
                <w:bCs/>
              </w:rPr>
              <w:t>Wellness Program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A21" w:rsidRPr="00D1776F" w:rsidRDefault="00B90A21" w:rsidP="007743C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Euphemia" w:hAnsi="Euphemia" w:cs="Arial"/>
                <w:b/>
              </w:rPr>
            </w:pPr>
            <w:r>
              <w:rPr>
                <w:rFonts w:ascii="Euphemia" w:hAnsi="Euphemia" w:cs="Arial"/>
                <w:b/>
              </w:rPr>
              <w:t>Provide a better understanding of client’s medical condition and awareness of how to extract the best care of their healthcare provider</w:t>
            </w:r>
            <w:r w:rsidRPr="00D1776F">
              <w:rPr>
                <w:rFonts w:ascii="Euphemia" w:hAnsi="Euphemia" w:cs="Arial"/>
                <w:b/>
              </w:rPr>
              <w:t xml:space="preserve"> </w:t>
            </w:r>
          </w:p>
        </w:tc>
      </w:tr>
    </w:tbl>
    <w:p w:rsidR="00FC197A" w:rsidRPr="00B90A21" w:rsidRDefault="00FC197A" w:rsidP="00F705A6">
      <w:pPr>
        <w:rPr>
          <w:rFonts w:ascii="Euphemia" w:hAnsi="Euphemia"/>
          <w:b/>
        </w:rPr>
      </w:pPr>
    </w:p>
    <w:sectPr w:rsidR="00FC197A" w:rsidRPr="00B90A21" w:rsidSect="002D4997">
      <w:pgSz w:w="12240" w:h="15840" w:code="1"/>
      <w:pgMar w:top="1008" w:right="1440" w:bottom="576" w:left="1440" w:header="576" w:footer="57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9F3"/>
    <w:multiLevelType w:val="multilevel"/>
    <w:tmpl w:val="2EB8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B6B1E"/>
    <w:multiLevelType w:val="multilevel"/>
    <w:tmpl w:val="47D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B44DB"/>
    <w:multiLevelType w:val="multilevel"/>
    <w:tmpl w:val="6D3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548FF"/>
    <w:multiLevelType w:val="multilevel"/>
    <w:tmpl w:val="207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B2D1A"/>
    <w:multiLevelType w:val="multilevel"/>
    <w:tmpl w:val="0B6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E77A1"/>
    <w:multiLevelType w:val="multilevel"/>
    <w:tmpl w:val="3B96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1776F"/>
    <w:rsid w:val="000547FE"/>
    <w:rsid w:val="0019007F"/>
    <w:rsid w:val="001A3CED"/>
    <w:rsid w:val="00280DF0"/>
    <w:rsid w:val="002D4997"/>
    <w:rsid w:val="00433260"/>
    <w:rsid w:val="004B57EB"/>
    <w:rsid w:val="005361A2"/>
    <w:rsid w:val="00617383"/>
    <w:rsid w:val="00620B4E"/>
    <w:rsid w:val="007862DD"/>
    <w:rsid w:val="00813293"/>
    <w:rsid w:val="00903838"/>
    <w:rsid w:val="00A77D32"/>
    <w:rsid w:val="00B90A21"/>
    <w:rsid w:val="00CF196B"/>
    <w:rsid w:val="00D1776F"/>
    <w:rsid w:val="00DF4EA3"/>
    <w:rsid w:val="00F705A6"/>
    <w:rsid w:val="00FC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6B"/>
  </w:style>
  <w:style w:type="paragraph" w:styleId="Heading1">
    <w:name w:val="heading 1"/>
    <w:basedOn w:val="Normal"/>
    <w:next w:val="Normal"/>
    <w:link w:val="Heading1Char"/>
    <w:qFormat/>
    <w:rsid w:val="00CF196B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60" w:lineRule="auto"/>
      <w:outlineLvl w:val="0"/>
    </w:pPr>
    <w:rPr>
      <w:rFonts w:ascii="Helvetica" w:hAnsi="Helvetica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CF196B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60" w:lineRule="auto"/>
      <w:outlineLvl w:val="1"/>
    </w:pPr>
    <w:rPr>
      <w:rFonts w:ascii="Helvetica" w:hAnsi="Helvetica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CF196B"/>
    <w:pPr>
      <w:keepNext/>
      <w:outlineLvl w:val="2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196B"/>
    <w:rPr>
      <w:rFonts w:ascii="Helvetica" w:hAnsi="Helvetica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rsid w:val="00CF196B"/>
    <w:rPr>
      <w:rFonts w:ascii="Helvetica" w:hAnsi="Helvetica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rsid w:val="00CF196B"/>
    <w:rPr>
      <w:rFonts w:ascii="Garamond" w:hAnsi="Garamond"/>
      <w:b/>
      <w:sz w:val="24"/>
    </w:rPr>
  </w:style>
  <w:style w:type="paragraph" w:styleId="ListParagraph">
    <w:name w:val="List Paragraph"/>
    <w:basedOn w:val="Normal"/>
    <w:uiPriority w:val="34"/>
    <w:qFormat/>
    <w:rsid w:val="00CF1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83">
    <w:name w:val="style83"/>
    <w:basedOn w:val="Normal"/>
    <w:rsid w:val="00D1776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177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17</cp:revision>
  <cp:lastPrinted>2010-12-31T16:53:00Z</cp:lastPrinted>
  <dcterms:created xsi:type="dcterms:W3CDTF">2010-12-30T03:22:00Z</dcterms:created>
  <dcterms:modified xsi:type="dcterms:W3CDTF">2011-01-06T03:45:00Z</dcterms:modified>
</cp:coreProperties>
</file>